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附件2</w:t>
      </w:r>
    </w:p>
    <w:p>
      <w:pPr>
        <w:jc w:val="center"/>
        <w:rPr>
          <w:rFonts w:hint="default" w:ascii="Times New Roman" w:hAnsi="Times New Roman" w:eastAsia="方正小标宋简体" w:cs="Times New Roman"/>
          <w:bCs/>
          <w:sz w:val="36"/>
          <w:szCs w:val="36"/>
        </w:rPr>
      </w:pPr>
      <w:r>
        <w:rPr>
          <w:rFonts w:hint="default" w:ascii="Times New Roman" w:hAnsi="Times New Roman" w:eastAsia="方正小标宋简体" w:cs="Times New Roman"/>
          <w:bCs/>
          <w:sz w:val="36"/>
          <w:szCs w:val="36"/>
        </w:rPr>
        <w:t>绿色</w:t>
      </w:r>
      <w:r>
        <w:rPr>
          <w:rFonts w:hint="default" w:ascii="Times New Roman" w:hAnsi="Times New Roman" w:eastAsia="方正小标宋简体" w:cs="Times New Roman"/>
          <w:bCs/>
          <w:sz w:val="36"/>
          <w:szCs w:val="36"/>
          <w:lang w:val="en"/>
        </w:rPr>
        <w:t>工业</w:t>
      </w:r>
      <w:r>
        <w:rPr>
          <w:rFonts w:hint="default" w:ascii="Times New Roman" w:hAnsi="Times New Roman" w:eastAsia="方正小标宋简体" w:cs="Times New Roman"/>
          <w:bCs/>
          <w:sz w:val="36"/>
          <w:szCs w:val="36"/>
        </w:rPr>
        <w:t>园区评价要求</w:t>
      </w:r>
    </w:p>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（一）基本要求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1.国家和地方绿色、循环和低碳相关法律法规、政策和标准应得到有效的贯彻执行。 </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4.园区重点企业100%实施清洁生产审核。</w:t>
      </w:r>
    </w:p>
    <w:p>
      <w:pPr>
        <w:ind w:firstLine="630"/>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注：重点企业是指《清洁生产促进法》中规定的应当实施强制性清洁生产 审核的企业（评审期当年及之前公布的重点企业清洁生产审核名单中的企业）。</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6.园区建立履行绿色发展工作职责的专门机构、配备2名以上专职工作人员。</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7.鼓励园区建立并运行环境管理体系和能源管理体系，建立园区能源监测管理平台。</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8.鼓励园区建设并运行风能、太阳能等可再生能源应用</w:t>
      </w:r>
    </w:p>
    <w:p>
      <w:pPr>
        <w:ind w:left="-1"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设施。</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（二）评价指标构成</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绿色园区评价指标体系包括能源利用绿色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附表1 绿色园区评价指标体系</w:t>
      </w:r>
    </w:p>
    <w:tbl>
      <w:tblPr>
        <w:tblStyle w:val="9"/>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544"/>
        <w:gridCol w:w="1276"/>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544"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（EG）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资源利用绿色化指标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(RG)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(IG)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ind w:firstLine="560"/>
              <w:jc w:val="center"/>
              <w:rPr>
                <w:rFonts w:hint="default" w:ascii="Times New Roman" w:hAnsi="Times New Roman" w:eastAsia="仿宋_GB2312" w:cs="Times New Roman"/>
                <w:kern w:val="0"/>
                <w:sz w:val="28"/>
                <w:szCs w:val="28"/>
              </w:rPr>
            </w:pPr>
          </w:p>
          <w:p>
            <w:pPr>
              <w:adjustRightInd w:val="0"/>
              <w:snapToGrid w:val="0"/>
              <w:jc w:val="both"/>
              <w:rPr>
                <w:rFonts w:hint="default" w:ascii="Times New Roman" w:hAnsi="Times New Roman" w:eastAsia="仿宋_GB2312" w:cs="Times New Roman"/>
                <w:kern w:val="0"/>
                <w:sz w:val="28"/>
                <w:szCs w:val="28"/>
              </w:rPr>
            </w:pP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绿色园区标准体系完善程度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编制绿色园区发展规划</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16"/>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544"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绿色园区信息平台完善程度</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14"/>
        <w:ind w:firstLine="0" w:firstLineChars="0"/>
        <w:rPr>
          <w:rFonts w:hint="default" w:ascii="Times New Roman" w:hAnsi="Times New Roman" w:cs="Times New Roman"/>
        </w:rPr>
      </w:pPr>
      <w:r>
        <w:rPr>
          <w:rFonts w:hint="default" w:ascii="Times New Roman" w:hAnsi="Times New Roman" w:cs="Times New Roman"/>
          <w:position w:val="-32"/>
        </w:rPr>
        <w:object>
          <v:shape id="_x0000_i1025" o:spt="75" type="#_x0000_t75" style="height:42.1pt;width:470.05pt;" o:ole="t" filled="f" o:preferrelative="t" stroked="f" coordsize="21600,21600">
            <v:path/>
            <v:fill on="f" focussize="0,0"/>
            <v:stroke on="f" joinstyle="miter"/>
            <v:imagedata r:id="rId6" o:title=""/>
            <o:lock v:ext="edit" aspectratio="t"/>
            <w10:wrap type="none"/>
            <w10:anchorlock/>
          </v:shape>
          <o:OLEObject Type="Embed" ProgID="Equation.DSMT4" ShapeID="_x0000_i1025" DrawAspect="Content" ObjectID="_1468075725" r:id="rId5">
            <o:LockedField>false</o:LockedField>
          </o:OLEObject>
        </w:object>
      </w:r>
      <w:r>
        <w:rPr>
          <w:rFonts w:hint="default" w:ascii="Times New Roman" w:hAnsi="Times New Roman" w:cs="Times New Roman"/>
        </w:rPr>
        <w:t xml:space="preserve">                </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6"/>
          <w:sz w:val="32"/>
          <w:szCs w:val="32"/>
        </w:rPr>
        <w:object>
          <v:shape id="_x0000_i1026" o:spt="75" type="#_x0000_t75" style="height:14.25pt;width:17pt;" o:ole="t" filled="f" o:preferrelative="t" stroked="f" coordsize="21600,21600">
            <v:path/>
            <v:fill on="f" focussize="0,0"/>
            <v:stroke on="f" joinstyle="miter"/>
            <v:imagedata r:id="rId8" o:title=""/>
            <o:lock v:ext="edit" aspectratio="t"/>
            <w10:wrap type="none"/>
            <w10:anchorlock/>
          </v:shape>
          <o:OLEObject Type="Embed" ProgID="Equation.DSMT4" ShapeID="_x0000_i1026" DrawAspect="Content" ObjectID="_1468075726" r:id="rId7">
            <o:LockedField>false</o:LockedField>
          </o:OLEObject>
        </w:object>
      </w:r>
      <w:r>
        <w:rPr>
          <w:rFonts w:hint="default" w:ascii="Times New Roman" w:hAnsi="Times New Roman" w:eastAsia="仿宋_GB2312" w:cs="Times New Roman"/>
          <w:sz w:val="32"/>
          <w:szCs w:val="32"/>
        </w:rPr>
        <w:t>为工业园区绿色指数；</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7" o:spt="75" type="#_x0000_t75" style="height:18.35pt;width:21.75pt;" o:ole="t" filled="f" o:preferrelative="t" stroked="f" coordsize="21600,21600">
            <v:path/>
            <v:fill on="f" focussize="0,0"/>
            <v:stroke on="f" joinstyle="miter"/>
            <v:imagedata r:id="rId10" o:title=""/>
            <o:lock v:ext="edit" aspectratio="t"/>
            <w10:wrap type="none"/>
            <w10:anchorlock/>
          </v:shape>
          <o:OLEObject Type="Embed" ProgID="Equation.DSMT4" ShapeID="_x0000_i1027" DrawAspect="Content" ObjectID="_1468075727" r:id="rId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28" DrawAspect="Content" ObjectID="_1468075728" r:id="rId11">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9" o:spt="75" type="#_x0000_t75" style="height:18.35pt;width:24.45pt;" o:ole="t" filled="f" o:preferrelative="t" stroked="f" coordsize="21600,21600">
            <v:path/>
            <v:fill on="f" focussize="0,0"/>
            <v:stroke on="f" joinstyle="miter"/>
            <v:imagedata r:id="rId14" o:title=""/>
            <o:lock v:ext="edit" aspectratio="t"/>
            <w10:wrap type="none"/>
            <w10:anchorlock/>
          </v:shape>
          <o:OLEObject Type="Embed" ProgID="Equation.DSMT4" ShapeID="_x0000_i1029" DrawAspect="Content" ObjectID="_1468075729"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0" DrawAspect="Content" ObjectID="_1468075730" r:id="rId15">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1" o:spt="75" type="#_x0000_t75" style="height:18.35pt;width:21.75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2" DrawAspect="Content" ObjectID="_1468075732" r:id="rId18">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3" o:spt="75" type="#_x0000_t75" style="height:18.35pt;width:24.4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4" DrawAspect="Content" ObjectID="_1468075734" r:id="rId21">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5" o:spt="75" type="#_x0000_t75" style="height:18.35pt;width:19pt;" o:ole="t" filled="f" o:preferrelative="t" stroked="f" coordsize="21600,21600">
            <v:path/>
            <v:fill on="f" focussize="0,0"/>
            <v:stroke on="f" joinstyle="miter"/>
            <v:imagedata r:id="rId23" o:title=""/>
            <o:lock v:ext="edit" aspectratio="t"/>
            <w10:wrap type="none"/>
            <w10:anchorlock/>
          </v:shape>
          <o:OLEObject Type="Embed" ProgID="Equation.DSMT4" ShapeID="_x0000_i1035" DrawAspect="Content" ObjectID="_1468075735"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6" DrawAspect="Content" ObjectID="_1468075736" r:id="rId24">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7"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7" DrawAspect="Content" ObjectID="_1468075737"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38" DrawAspect="Content" ObjectID="_1468075738" r:id="rId27">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9" o:spt="75" type="#_x0000_t75" style="height:18.35pt;width:21.75pt;" o:ole="t" filled="f" o:preferrelative="t" stroked="f" coordsize="21600,21600">
            <v:path/>
            <v:fill on="f" focussize="0,0"/>
            <v:stroke on="f" joinstyle="miter"/>
            <v:imagedata r:id="rId29" o:title=""/>
            <o:lock v:ext="edit" aspectratio="t"/>
            <w10:wrap type="none"/>
            <w10:anchorlock/>
          </v:shape>
          <o:OLEObject Type="Embed" ProgID="Equation.DSMT4" ShapeID="_x0000_i1039" DrawAspect="Content" ObjectID="_1468075739"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0" DrawAspect="Content" ObjectID="_1468075740" r:id="rId30">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1" o:spt="75" type="#_x0000_t75" style="height:18.35pt;width:24.45pt;" o:ole="t" filled="f" o:preferrelative="t" stroked="f" coordsize="21600,21600">
            <v:path/>
            <v:fill on="f" focussize="0,0"/>
            <v:stroke on="f" joinstyle="miter"/>
            <v:imagedata r:id="rId32" o:title=""/>
            <o:lock v:ext="edit" aspectratio="t"/>
            <w10:wrap type="none"/>
            <w10:anchorlock/>
          </v:shape>
          <o:OLEObject Type="Embed" ProgID="Equation.DSMT4" ShapeID="_x0000_i1041" DrawAspect="Content" ObjectID="_1468075741"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2"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2" DrawAspect="Content" ObjectID="_1468075742" r:id="rId33">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3" o:spt="75" type="#_x0000_t75" style="height:18.35pt;width:23.1pt;" o:ole="t" filled="f" o:preferrelative="t" stroked="f" coordsize="21600,21600">
            <v:path/>
            <v:fill on="f" focussize="0,0"/>
            <v:stroke on="f" joinstyle="miter"/>
            <v:imagedata r:id="rId35" o:title=""/>
            <o:lock v:ext="edit" aspectratio="t"/>
            <w10:wrap type="none"/>
            <w10:anchorlock/>
          </v:shape>
          <o:OLEObject Type="Embed" ProgID="Equation.DSMT4" ShapeID="_x0000_i1043" DrawAspect="Content" ObjectID="_1468075743"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4"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4" DrawAspect="Content" ObjectID="_1468075744" r:id="rId36">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5" o:spt="75" type="#_x0000_t75" style="height:18.35pt;width:27.15pt;" o:ole="t" filled="f" o:preferrelative="t" stroked="f" coordsize="21600,21600">
            <v:path/>
            <v:fill on="f" focussize="0,0"/>
            <v:stroke on="f" joinstyle="miter"/>
            <v:imagedata r:id="rId38" o:title=""/>
            <o:lock v:ext="edit" aspectratio="t"/>
            <w10:wrap type="none"/>
            <w10:anchorlock/>
          </v:shape>
          <o:OLEObject Type="Embed" ProgID="Equation.DSMT4" ShapeID="_x0000_i1045" DrawAspect="Content" ObjectID="_1468075745"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6"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6" DrawAspect="Content" ObjectID="_1468075746" r:id="rId39">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7" o:spt="75" type="#_x0000_t75" style="height:18.35pt;width:23.75pt;" o:ole="t" filled="f" o:preferrelative="t" stroked="f" coordsize="21600,21600">
            <v:path/>
            <v:fill on="f" focussize="0,0"/>
            <v:stroke on="f" joinstyle="miter"/>
            <v:imagedata r:id="rId41" o:title=""/>
            <o:lock v:ext="edit" aspectratio="t"/>
            <w10:wrap type="none"/>
            <w10:anchorlock/>
          </v:shape>
          <o:OLEObject Type="Embed" ProgID="Equation.DSMT4" ShapeID="_x0000_i1047" DrawAspect="Content" ObjectID="_1468075747"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8"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48" DrawAspect="Content" ObjectID="_1468075748" r:id="rId42">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9" o:spt="75" type="#_x0000_t75" style="height:18.35pt;width:27.85pt;" o:ole="t" filled="f" o:preferrelative="t" stroked="f" coordsize="21600,21600">
            <v:path/>
            <v:fill on="f" focussize="0,0"/>
            <v:stroke on="f" joinstyle="miter"/>
            <v:imagedata r:id="rId44"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50" o:spt="75" type="#_x0000_t75" style="height:12.9pt;width:6.8pt;" o:ole="t" filled="f" o:preferrelative="t" stroked="f" coordsize="21600,21600">
            <v:path/>
            <v:fill on="f" focussize="0,0"/>
            <v:stroke on="f" joinstyle="miter"/>
            <v:imagedata r:id="rId12" o:title=""/>
            <o:lock v:ext="edit" aspectratio="t"/>
            <w10:wrap type="none"/>
            <w10:anchorlock/>
          </v:shape>
          <o:OLEObject Type="Embed" ProgID="Equation.DSMT4" ShapeID="_x0000_i1050" DrawAspect="Content" ObjectID="_1468075750" r:id="rId45">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14"/>
        <w:ind w:firstLine="480"/>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（一）能源产出率（必选）</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：指报告期内园区工业增加值与能源消耗总量的比值，该项指标越大，表明能源产出效率越高。能源主要包括原煤、原油、天然气、核电、水电、风电等一次能源。 工业增加值采用2010年不变价，下同。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能源产出率= 园区工业增加值（万元不变价）/能源综合消耗总量（tce）。</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（二）可再生能源使用比例（必选）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可再生能源使用比例（%）=工业企业可再生能源使用量（tce）/工业企业综合能耗总量（tce）x100%。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（三）清洁能源使用率（必选）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（一）水资源产出率（必选）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水资源产出率= 园区工业增加值（万元不变价）/园区工业用新鲜水量（m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（二）土地资源产出率（必选）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土地产出率=园区工业增加值（万元不变价）/园区工业用地面积（km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（三）工业固体废弃物综合利用率（必选）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（四）工业用水重复利用率（必选）</w:t>
      </w:r>
    </w:p>
    <w:p>
      <w:p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：指工业重复用水量占工业用水总量的百分</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工业用水重复利用率=工业重复用水量（m3）/工业用水总量（m3）×100%。</w:t>
      </w:r>
    </w:p>
    <w:p>
      <w:pPr>
        <w:ind w:firstLine="63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（五）中水回用率（可选）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指园区内再生水的回用量与污水处理厂处理量的比值。其中，再生水（中水）是指二级达标水经再生工艺净化处理后，达到中水水质指标要求，满足某种使用要求的水。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：中水</w:t>
      </w:r>
      <w:r>
        <w:rPr>
          <w:rFonts w:hint="eastAsia" w:ascii="Times New Roman" w:hAnsi="Times New Roman" w:eastAsia="仿宋_GB2312" w:cs="Times New Roman"/>
          <w:sz w:val="32"/>
          <w:szCs w:val="32"/>
          <w:lang w:eastAsia="zh-CN"/>
        </w:rPr>
        <w:t>回</w:t>
      </w:r>
      <w:r>
        <w:rPr>
          <w:rFonts w:hint="default" w:ascii="Times New Roman" w:hAnsi="Times New Roman" w:eastAsia="仿宋_GB2312" w:cs="Times New Roman"/>
          <w:sz w:val="32"/>
          <w:szCs w:val="32"/>
        </w:rPr>
        <w:t>用率（%）=园区再生水（中水）回用量（万吨）/园区污水处理厂处理量（万吨）×100%。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（六）余热资源回收利用率（可选）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：余热资源回收利用率（%）=回收利用的余热资源量（kJ）/园区总余热资源量（kJ）×100%。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（七）废气资源回收利用率（可选）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废气资源回收利用率（%）=回收利用的废气资源量（万m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）/园区可回收利用总废气资源量（万m</w:t>
      </w:r>
      <w:r>
        <w:rPr>
          <w:rFonts w:hint="default" w:ascii="Times New Roman" w:hAnsi="Times New Roman" w:eastAsia="仿宋_GB2312" w:cs="Times New Roman"/>
          <w:sz w:val="32"/>
          <w:szCs w:val="32"/>
          <w:vertAlign w:val="superscript"/>
        </w:rPr>
        <w:t>3</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（八）再生资源回收利用率（可选）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再生资源回收利用率（%）=再生资源循环利用量（万吨）/再生资源收集量（万吨）×100%。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（一）污水集中处理设施（必选）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（二）新建工业建筑中绿色建筑的比例（可选）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新建工业建筑中绿色建筑的比例（%）=新建工业建筑中绿色建筑的面积（m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）/园区新建工业建筑面积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（三）新建公共建筑中绿色建筑的比例（可选）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园区新建公共建筑中的绿色建筑是按照GB/T 50378-2014 《绿色建筑评价标准》评价，获得二星及以上评级的公共建筑。</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：新建公共建筑中绿色建筑的比例（%）=新建公共建筑中绿色建筑的面积（m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）/园区新建公共建筑面积</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（四）500米公交站点覆盖率（可选）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园区公共交通车站服务覆盖面积的总和占园区建成区面积的百分比。</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具体根据GB 50220计算。</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（五）节能与新能源公交车比例（可选）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（一）绿色产业增加值占园区工业增加值比例（必选）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园区内绿色产业的增加值与园区工业增加值的比值。其中，绿色产业增加值是依据国家统计局《战略性新兴产业分类（2012)》(试行)中关于节能环保产业和新能源产业的具体分类统计得到。</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绿色产业增加值占园区工业增加值比例（%）=绿色产业增加值（万元）/园区工业增加值（万元）×100%。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（二）高新技术产业产值占园区工业总产值比例（必选）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高新技术产业产值占园区工业总产值比例</w:t>
      </w: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（%）=高新技术企业的工业产值之和（万元）/工业园区工业总产值（万元）×100%。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（三）人均工业增加值（可选）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人均工业增加值（万元/人）=园区工业增加值（万元）/园区年末工业企业从业人数（人）。</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（四）现代服务业比例（可选）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（一）工业固体废弃物（含危废）处置利用率（必选）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工业固体废弃物（含危废）处置利用率（%）=园区当年工业固体废物处置利用量（含危险废物）（t）/园区当年工业固体废物总产生量（t）×100%。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（二）万元工业增加值碳排放量消减率（必选）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园区内工业企业产生单位工业增加值所排放的二氧化碳当量的创建期年均消减率。创建期是指绿色园区创建周期。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万元工业增加值碳排放量消减率（%）=[1-（验收年单位工业增加值二氧化碳排放量(tCO2eq./万元)/创建基准年单位工业增加值二氧化碳排放量(tCO2eq./万元)）</w:t>
      </w:r>
      <w:r>
        <w:rPr>
          <w:rFonts w:hint="default" w:ascii="Times New Roman" w:hAnsi="Times New Roman" w:eastAsia="仿宋_GB2312" w:cs="Times New Roman"/>
          <w:sz w:val="32"/>
          <w:szCs w:val="32"/>
          <w:vertAlign w:val="superscript"/>
        </w:rPr>
        <w:t>1/创建周期</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（三）单位工业增加值废水排放量（必选）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：单位工业增加值废水排放量（t/万元）=园区工业废水排放总量（t）/园区工业增加值总量（万元）。</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（四）主要污染物弹性系数（必选）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：指园区内工业企业排放的各类主要污染物排放弹性系数的算术平均值。其中，主要污染物指从创建基准年到验收年，国家政策明确要求总量减排和控制的污染物，包括COD、SO</w:t>
      </w:r>
      <w:r>
        <w:rPr>
          <w:rFonts w:hint="default" w:ascii="Times New Roman" w:hAnsi="Times New Roman" w:eastAsia="仿宋_GB2312" w:cs="Times New Roman"/>
          <w:sz w:val="32"/>
          <w:szCs w:val="32"/>
          <w:vertAlign w:val="subscript"/>
        </w:rPr>
        <w:t>2</w:t>
      </w:r>
      <w:r>
        <w:rPr>
          <w:rFonts w:hint="default" w:ascii="Times New Roman" w:hAnsi="Times New Roman" w:eastAsia="仿宋_GB2312" w:cs="Times New Roman"/>
          <w:sz w:val="32"/>
          <w:szCs w:val="32"/>
        </w:rPr>
        <w:t>、氨氮、NO</w:t>
      </w:r>
      <w:r>
        <w:rPr>
          <w:rFonts w:hint="default" w:ascii="Times New Roman" w:hAnsi="Times New Roman" w:eastAsia="仿宋_GB2312" w:cs="Times New Roman"/>
          <w:sz w:val="32"/>
          <w:szCs w:val="32"/>
          <w:vertAlign w:val="subscript"/>
        </w:rPr>
        <w:t>X</w:t>
      </w:r>
      <w:r>
        <w:rPr>
          <w:rFonts w:hint="default" w:ascii="Times New Roman" w:hAnsi="Times New Roman" w:eastAsia="仿宋_GB2312" w:cs="Times New Roman"/>
          <w:sz w:val="32"/>
          <w:szCs w:val="32"/>
        </w:rPr>
        <w:t xml:space="preserve"> 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指空气质量优良天数占全年天数的比例。空气质量优良等级按照GB3085《环境空气质量标准》确定。</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）绿化覆盖率（</w:t>
      </w:r>
      <w:r>
        <w:rPr>
          <w:rFonts w:hint="default" w:ascii="Times New Roman" w:hAnsi="Times New Roman" w:eastAsia="楷体_GB2312" w:cs="Times New Roman"/>
          <w:sz w:val="32"/>
          <w:szCs w:val="32"/>
          <w:lang w:val="en-US" w:eastAsia="zh-CN"/>
        </w:rPr>
        <w:t>可</w:t>
      </w:r>
      <w:r>
        <w:rPr>
          <w:rFonts w:hint="default" w:ascii="Times New Roman" w:hAnsi="Times New Roman" w:eastAsia="楷体_GB2312" w:cs="Times New Roman"/>
          <w:sz w:val="32"/>
          <w:szCs w:val="32"/>
        </w:rPr>
        <w:t>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园区内各类</w:t>
      </w:r>
      <w:r>
        <w:rPr>
          <w:rFonts w:hint="default" w:ascii="Times New Roman" w:hAnsi="Times New Roman" w:eastAsia="仿宋_GB2312" w:cs="Times New Roman"/>
          <w:sz w:val="32"/>
          <w:szCs w:val="32"/>
          <w:lang w:val="en-US" w:eastAsia="zh-CN"/>
        </w:rPr>
        <w:t>绿地总面积</w:t>
      </w:r>
      <w:r>
        <w:rPr>
          <w:rFonts w:hint="default" w:ascii="Times New Roman" w:hAnsi="Times New Roman" w:eastAsia="仿宋_GB2312" w:cs="Times New Roman"/>
          <w:sz w:val="32"/>
          <w:szCs w:val="32"/>
        </w:rPr>
        <w:t>与园区规划范围内用地总面积的比值。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绿色覆盖率（%）=园区内各类绿地总面积（m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）/园区用地总面积（m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（七）道路遮荫比例（可选）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道路遮荫比例（%）=道路两旁树冠垂直投影遮蔽的总阴影面积（m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）/步行道路总面积（m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）×100%。</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（八）露天停车场遮荫比例（可选）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指标要求：</w:t>
      </w:r>
      <w:r>
        <w:rPr>
          <w:rFonts w:hint="default" w:ascii="Times New Roman" w:hAnsi="Times New Roman" w:eastAsia="仿宋_GB2312" w:cs="Times New Roman"/>
          <w:sz w:val="32"/>
          <w:szCs w:val="32"/>
        </w:rPr>
        <w:t>露天停车场遮阴比例应达到80%。</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计算公式：</w:t>
      </w:r>
      <w:r>
        <w:rPr>
          <w:rFonts w:hint="default" w:ascii="Times New Roman" w:hAnsi="Times New Roman" w:eastAsia="仿宋_GB2312" w:cs="Times New Roman"/>
          <w:sz w:val="32"/>
          <w:szCs w:val="32"/>
        </w:rPr>
        <w:t>露天停车场遮荫比例（%）=露天停车场树冠垂直投影遮蔽的总阴影面积（m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）/露天停车场总面积（m</w:t>
      </w:r>
      <w:r>
        <w:rPr>
          <w:rFonts w:hint="default" w:ascii="Times New Roman" w:hAnsi="Times New Roman" w:eastAsia="仿宋_GB2312" w:cs="Times New Roman"/>
          <w:sz w:val="32"/>
          <w:szCs w:val="32"/>
          <w:vertAlign w:val="superscript"/>
        </w:rPr>
        <w:t>2</w:t>
      </w:r>
      <w:r>
        <w:rPr>
          <w:rFonts w:hint="default" w:ascii="Times New Roman" w:hAnsi="Times New Roman" w:eastAsia="仿宋_GB2312" w:cs="Times New Roman"/>
          <w:sz w:val="32"/>
          <w:szCs w:val="32"/>
        </w:rPr>
        <w:t>）</w:t>
      </w:r>
      <w:r>
        <w:rPr>
          <w:rFonts w:hint="default" w:ascii="Times New Roman" w:hAnsi="Times New Roman" w:cs="Times New Roman"/>
          <w:color w:val="333333"/>
          <w:sz w:val="32"/>
          <w:szCs w:val="32"/>
          <w:shd w:val="clear" w:color="auto" w:fill="FFFFFF"/>
        </w:rPr>
        <w:t>×</w:t>
      </w:r>
      <w:r>
        <w:rPr>
          <w:rFonts w:hint="default" w:ascii="Times New Roman" w:hAnsi="Times New Roman" w:eastAsia="仿宋_GB2312"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指标包括绿色园区标准体系完善程度、编制绿色园区发展规划、绿色园区信息平台完善程度3个必选指标。</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（一）绿色园区标准体系完善程度（必选）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sz w:val="32"/>
          <w:szCs w:val="32"/>
        </w:rPr>
        <w:t>（二）编制绿色园区发展规划（必选）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按照本实施方案的创建内容编制绿色园区发展规划，原则上每五年编制一次。</w:t>
      </w:r>
    </w:p>
    <w:p>
      <w:pPr>
        <w:ind w:firstLine="63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（三）绿色园区信息平台完善程度（必选）</w:t>
      </w:r>
    </w:p>
    <w:p>
      <w:pPr>
        <w:ind w:firstLine="640" w:firstLineChars="200"/>
        <w:rPr>
          <w:rFonts w:hint="default" w:ascii="Times New Roman" w:hAnsi="Times New Roman" w:cs="Times New Roman"/>
        </w:rPr>
      </w:pPr>
      <w:r>
        <w:rPr>
          <w:rFonts w:hint="default" w:ascii="Times New Roman" w:hAnsi="Times New Roman" w:eastAsia="楷体_GB2312" w:cs="Times New Roman"/>
          <w:bCs/>
          <w:sz w:val="32"/>
          <w:szCs w:val="32"/>
        </w:rPr>
        <w:t>指标解释：</w:t>
      </w:r>
      <w:r>
        <w:rPr>
          <w:rFonts w:hint="default" w:ascii="Times New Roman" w:hAnsi="Times New Roman" w:eastAsia="仿宋_GB2312" w:cs="Times New Roman"/>
          <w:sz w:val="32"/>
          <w:szCs w:val="32"/>
        </w:rPr>
        <w:t>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2640330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9pt;margin-top:0.75pt;height:144pt;width:144pt;mso-position-horizontal-relative:margin;mso-wrap-style:none;z-index:251659264;mso-width-relative:page;mso-height-relative:page;" filled="f" stroked="f" coordsize="21600,21600" o:gfxdata="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7fiH3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- 1 -</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1B"/>
    <w:rsid w:val="00002B8B"/>
    <w:rsid w:val="00003150"/>
    <w:rsid w:val="00011051"/>
    <w:rsid w:val="000139AB"/>
    <w:rsid w:val="000161CF"/>
    <w:rsid w:val="00016DA8"/>
    <w:rsid w:val="00025590"/>
    <w:rsid w:val="00025C55"/>
    <w:rsid w:val="00026BF7"/>
    <w:rsid w:val="00042E98"/>
    <w:rsid w:val="000466F5"/>
    <w:rsid w:val="0006004A"/>
    <w:rsid w:val="00062C97"/>
    <w:rsid w:val="00070B89"/>
    <w:rsid w:val="000715D5"/>
    <w:rsid w:val="000757DD"/>
    <w:rsid w:val="00082EC7"/>
    <w:rsid w:val="00085F79"/>
    <w:rsid w:val="000865BE"/>
    <w:rsid w:val="0009191E"/>
    <w:rsid w:val="00092C0D"/>
    <w:rsid w:val="00097332"/>
    <w:rsid w:val="000A0B70"/>
    <w:rsid w:val="000A317B"/>
    <w:rsid w:val="000A35D5"/>
    <w:rsid w:val="000A52C9"/>
    <w:rsid w:val="000A5A81"/>
    <w:rsid w:val="000A78DB"/>
    <w:rsid w:val="000B4E2D"/>
    <w:rsid w:val="000C71A0"/>
    <w:rsid w:val="000D602D"/>
    <w:rsid w:val="000E462F"/>
    <w:rsid w:val="000E516F"/>
    <w:rsid w:val="000E57FD"/>
    <w:rsid w:val="000F2335"/>
    <w:rsid w:val="000F4ACD"/>
    <w:rsid w:val="000F5DD2"/>
    <w:rsid w:val="000F5DF3"/>
    <w:rsid w:val="00100334"/>
    <w:rsid w:val="00100BB5"/>
    <w:rsid w:val="00122F4E"/>
    <w:rsid w:val="001276F6"/>
    <w:rsid w:val="00141C4C"/>
    <w:rsid w:val="00147962"/>
    <w:rsid w:val="00151166"/>
    <w:rsid w:val="001555E6"/>
    <w:rsid w:val="001620AB"/>
    <w:rsid w:val="00164F6C"/>
    <w:rsid w:val="00174EA6"/>
    <w:rsid w:val="00180A45"/>
    <w:rsid w:val="00185353"/>
    <w:rsid w:val="001855AF"/>
    <w:rsid w:val="00187503"/>
    <w:rsid w:val="0019362E"/>
    <w:rsid w:val="0019715B"/>
    <w:rsid w:val="001A6481"/>
    <w:rsid w:val="001B28B6"/>
    <w:rsid w:val="001B4A8A"/>
    <w:rsid w:val="001B50F8"/>
    <w:rsid w:val="001C213C"/>
    <w:rsid w:val="001C5247"/>
    <w:rsid w:val="001C63AB"/>
    <w:rsid w:val="001D2C38"/>
    <w:rsid w:val="001E16CC"/>
    <w:rsid w:val="001E2E0F"/>
    <w:rsid w:val="001E690A"/>
    <w:rsid w:val="001F1C5D"/>
    <w:rsid w:val="001F506A"/>
    <w:rsid w:val="001F6C6E"/>
    <w:rsid w:val="00200649"/>
    <w:rsid w:val="00203226"/>
    <w:rsid w:val="002060F0"/>
    <w:rsid w:val="00217380"/>
    <w:rsid w:val="002231E5"/>
    <w:rsid w:val="002242FD"/>
    <w:rsid w:val="00224AA4"/>
    <w:rsid w:val="00224C63"/>
    <w:rsid w:val="00227309"/>
    <w:rsid w:val="00231617"/>
    <w:rsid w:val="00234746"/>
    <w:rsid w:val="00234CB7"/>
    <w:rsid w:val="00235666"/>
    <w:rsid w:val="00237435"/>
    <w:rsid w:val="0024785E"/>
    <w:rsid w:val="00247F1E"/>
    <w:rsid w:val="00255DC3"/>
    <w:rsid w:val="002703DA"/>
    <w:rsid w:val="00275173"/>
    <w:rsid w:val="00281F7D"/>
    <w:rsid w:val="0028390F"/>
    <w:rsid w:val="002844FB"/>
    <w:rsid w:val="002853D8"/>
    <w:rsid w:val="0028591D"/>
    <w:rsid w:val="0028646A"/>
    <w:rsid w:val="002943AB"/>
    <w:rsid w:val="002B0214"/>
    <w:rsid w:val="002B2942"/>
    <w:rsid w:val="002B6538"/>
    <w:rsid w:val="002C1BF4"/>
    <w:rsid w:val="002C7A46"/>
    <w:rsid w:val="002D5169"/>
    <w:rsid w:val="002D5BE8"/>
    <w:rsid w:val="002E4CE6"/>
    <w:rsid w:val="002E519D"/>
    <w:rsid w:val="002E7F18"/>
    <w:rsid w:val="0030063A"/>
    <w:rsid w:val="003046AA"/>
    <w:rsid w:val="0030500C"/>
    <w:rsid w:val="00306FD3"/>
    <w:rsid w:val="00314519"/>
    <w:rsid w:val="00317494"/>
    <w:rsid w:val="00317CE2"/>
    <w:rsid w:val="00320A49"/>
    <w:rsid w:val="003240C6"/>
    <w:rsid w:val="003243C6"/>
    <w:rsid w:val="00326265"/>
    <w:rsid w:val="00326709"/>
    <w:rsid w:val="0034024F"/>
    <w:rsid w:val="00342A47"/>
    <w:rsid w:val="0034709B"/>
    <w:rsid w:val="003474C9"/>
    <w:rsid w:val="003553C3"/>
    <w:rsid w:val="00356020"/>
    <w:rsid w:val="00360FDB"/>
    <w:rsid w:val="00363398"/>
    <w:rsid w:val="003712DB"/>
    <w:rsid w:val="00372950"/>
    <w:rsid w:val="00377EC7"/>
    <w:rsid w:val="00383337"/>
    <w:rsid w:val="003834A8"/>
    <w:rsid w:val="0038640F"/>
    <w:rsid w:val="003868E6"/>
    <w:rsid w:val="00391108"/>
    <w:rsid w:val="003917B5"/>
    <w:rsid w:val="00392346"/>
    <w:rsid w:val="00394833"/>
    <w:rsid w:val="003A12E3"/>
    <w:rsid w:val="003A1B98"/>
    <w:rsid w:val="003A62B8"/>
    <w:rsid w:val="003B44AA"/>
    <w:rsid w:val="003B67B2"/>
    <w:rsid w:val="003B7965"/>
    <w:rsid w:val="003C094E"/>
    <w:rsid w:val="003C4990"/>
    <w:rsid w:val="003F214E"/>
    <w:rsid w:val="003F5B14"/>
    <w:rsid w:val="004059D3"/>
    <w:rsid w:val="0041467D"/>
    <w:rsid w:val="00415A87"/>
    <w:rsid w:val="0042290C"/>
    <w:rsid w:val="004405D0"/>
    <w:rsid w:val="0044085F"/>
    <w:rsid w:val="00441F35"/>
    <w:rsid w:val="004439AB"/>
    <w:rsid w:val="00450E0E"/>
    <w:rsid w:val="00452AEC"/>
    <w:rsid w:val="00452C64"/>
    <w:rsid w:val="0045712A"/>
    <w:rsid w:val="00462644"/>
    <w:rsid w:val="00466386"/>
    <w:rsid w:val="00467427"/>
    <w:rsid w:val="0047142F"/>
    <w:rsid w:val="00477176"/>
    <w:rsid w:val="0047720E"/>
    <w:rsid w:val="00482470"/>
    <w:rsid w:val="0048339E"/>
    <w:rsid w:val="0049079F"/>
    <w:rsid w:val="004913CD"/>
    <w:rsid w:val="004913E0"/>
    <w:rsid w:val="00491EFE"/>
    <w:rsid w:val="004B2B45"/>
    <w:rsid w:val="004B6527"/>
    <w:rsid w:val="004B697E"/>
    <w:rsid w:val="004C0980"/>
    <w:rsid w:val="004C5DA0"/>
    <w:rsid w:val="004D06EA"/>
    <w:rsid w:val="004E0684"/>
    <w:rsid w:val="004E26C6"/>
    <w:rsid w:val="004E3441"/>
    <w:rsid w:val="00501361"/>
    <w:rsid w:val="00506CE8"/>
    <w:rsid w:val="00512F79"/>
    <w:rsid w:val="0051431C"/>
    <w:rsid w:val="0051781A"/>
    <w:rsid w:val="005234B2"/>
    <w:rsid w:val="00533C51"/>
    <w:rsid w:val="00534AF4"/>
    <w:rsid w:val="00543BE7"/>
    <w:rsid w:val="005444DF"/>
    <w:rsid w:val="00544910"/>
    <w:rsid w:val="00556BF1"/>
    <w:rsid w:val="00557CFC"/>
    <w:rsid w:val="00557FF7"/>
    <w:rsid w:val="00561911"/>
    <w:rsid w:val="00562E33"/>
    <w:rsid w:val="00565011"/>
    <w:rsid w:val="0058172F"/>
    <w:rsid w:val="00582E99"/>
    <w:rsid w:val="00583B24"/>
    <w:rsid w:val="005873D8"/>
    <w:rsid w:val="00587900"/>
    <w:rsid w:val="0059013A"/>
    <w:rsid w:val="0059095A"/>
    <w:rsid w:val="00593190"/>
    <w:rsid w:val="00593C47"/>
    <w:rsid w:val="00596B3C"/>
    <w:rsid w:val="005A0C84"/>
    <w:rsid w:val="005A24B8"/>
    <w:rsid w:val="005A3AD5"/>
    <w:rsid w:val="005A775A"/>
    <w:rsid w:val="005B1583"/>
    <w:rsid w:val="005B68B4"/>
    <w:rsid w:val="005B7241"/>
    <w:rsid w:val="005C23DE"/>
    <w:rsid w:val="005C741B"/>
    <w:rsid w:val="005D2B24"/>
    <w:rsid w:val="005D40D5"/>
    <w:rsid w:val="005D4249"/>
    <w:rsid w:val="005D6A94"/>
    <w:rsid w:val="005E76EF"/>
    <w:rsid w:val="005F1B47"/>
    <w:rsid w:val="005F3433"/>
    <w:rsid w:val="005F4D74"/>
    <w:rsid w:val="0060397B"/>
    <w:rsid w:val="006052B2"/>
    <w:rsid w:val="00605731"/>
    <w:rsid w:val="0061029F"/>
    <w:rsid w:val="0061595B"/>
    <w:rsid w:val="0061712E"/>
    <w:rsid w:val="00631C9F"/>
    <w:rsid w:val="00631FAA"/>
    <w:rsid w:val="0063247B"/>
    <w:rsid w:val="00634BC7"/>
    <w:rsid w:val="006361FF"/>
    <w:rsid w:val="00641801"/>
    <w:rsid w:val="006432C4"/>
    <w:rsid w:val="00655025"/>
    <w:rsid w:val="00666AE4"/>
    <w:rsid w:val="00671E6F"/>
    <w:rsid w:val="00674FA9"/>
    <w:rsid w:val="00675DBB"/>
    <w:rsid w:val="00684BE5"/>
    <w:rsid w:val="00684DE5"/>
    <w:rsid w:val="0069016E"/>
    <w:rsid w:val="00690611"/>
    <w:rsid w:val="00693922"/>
    <w:rsid w:val="006A4214"/>
    <w:rsid w:val="006A5251"/>
    <w:rsid w:val="006A583D"/>
    <w:rsid w:val="006A60C5"/>
    <w:rsid w:val="006A68F7"/>
    <w:rsid w:val="006B2B4A"/>
    <w:rsid w:val="006B3D77"/>
    <w:rsid w:val="006B5A0D"/>
    <w:rsid w:val="006B6B2E"/>
    <w:rsid w:val="006C1B56"/>
    <w:rsid w:val="006C2B4D"/>
    <w:rsid w:val="006D07F8"/>
    <w:rsid w:val="006D14CC"/>
    <w:rsid w:val="006D3538"/>
    <w:rsid w:val="006E66EB"/>
    <w:rsid w:val="006E7AD8"/>
    <w:rsid w:val="006F3541"/>
    <w:rsid w:val="0070339B"/>
    <w:rsid w:val="0071776F"/>
    <w:rsid w:val="007207C1"/>
    <w:rsid w:val="007207CF"/>
    <w:rsid w:val="00721B0F"/>
    <w:rsid w:val="007233EC"/>
    <w:rsid w:val="00730203"/>
    <w:rsid w:val="00736230"/>
    <w:rsid w:val="00737453"/>
    <w:rsid w:val="007407B6"/>
    <w:rsid w:val="007412E5"/>
    <w:rsid w:val="00742D9C"/>
    <w:rsid w:val="007455DE"/>
    <w:rsid w:val="007562A3"/>
    <w:rsid w:val="00757ACE"/>
    <w:rsid w:val="0076196E"/>
    <w:rsid w:val="0076200C"/>
    <w:rsid w:val="00762B6E"/>
    <w:rsid w:val="00772594"/>
    <w:rsid w:val="00773D8C"/>
    <w:rsid w:val="00773DF3"/>
    <w:rsid w:val="0077509A"/>
    <w:rsid w:val="007763DE"/>
    <w:rsid w:val="0078192D"/>
    <w:rsid w:val="007904BE"/>
    <w:rsid w:val="00794EBD"/>
    <w:rsid w:val="00795FA6"/>
    <w:rsid w:val="007963EF"/>
    <w:rsid w:val="007A0C19"/>
    <w:rsid w:val="007A0EB8"/>
    <w:rsid w:val="007A25E7"/>
    <w:rsid w:val="007A33CB"/>
    <w:rsid w:val="007A3D39"/>
    <w:rsid w:val="007A4433"/>
    <w:rsid w:val="007B4F8A"/>
    <w:rsid w:val="007B6B22"/>
    <w:rsid w:val="007C36F7"/>
    <w:rsid w:val="007C3F62"/>
    <w:rsid w:val="007D0C2D"/>
    <w:rsid w:val="007D0D46"/>
    <w:rsid w:val="007D1F02"/>
    <w:rsid w:val="007D6952"/>
    <w:rsid w:val="007D6BF3"/>
    <w:rsid w:val="007E3522"/>
    <w:rsid w:val="007E62D2"/>
    <w:rsid w:val="007F4C22"/>
    <w:rsid w:val="00801BF3"/>
    <w:rsid w:val="008043A7"/>
    <w:rsid w:val="008127B3"/>
    <w:rsid w:val="008167BF"/>
    <w:rsid w:val="00817C2B"/>
    <w:rsid w:val="00822259"/>
    <w:rsid w:val="008223C7"/>
    <w:rsid w:val="00824B33"/>
    <w:rsid w:val="0083291A"/>
    <w:rsid w:val="00836AF5"/>
    <w:rsid w:val="00846A28"/>
    <w:rsid w:val="00850E12"/>
    <w:rsid w:val="00853D2F"/>
    <w:rsid w:val="008542E5"/>
    <w:rsid w:val="00854E82"/>
    <w:rsid w:val="00855126"/>
    <w:rsid w:val="00855C59"/>
    <w:rsid w:val="008652FC"/>
    <w:rsid w:val="008673FE"/>
    <w:rsid w:val="00872A7A"/>
    <w:rsid w:val="008732A0"/>
    <w:rsid w:val="00874555"/>
    <w:rsid w:val="00882AF7"/>
    <w:rsid w:val="008937B2"/>
    <w:rsid w:val="00893C8F"/>
    <w:rsid w:val="0089666A"/>
    <w:rsid w:val="00896B40"/>
    <w:rsid w:val="008A3E22"/>
    <w:rsid w:val="008B66A7"/>
    <w:rsid w:val="008B7636"/>
    <w:rsid w:val="008C742F"/>
    <w:rsid w:val="008C7BE6"/>
    <w:rsid w:val="008D2427"/>
    <w:rsid w:val="008D4E01"/>
    <w:rsid w:val="008D5122"/>
    <w:rsid w:val="008D5D67"/>
    <w:rsid w:val="008E254B"/>
    <w:rsid w:val="008E3F23"/>
    <w:rsid w:val="008E6B7B"/>
    <w:rsid w:val="008F1EFB"/>
    <w:rsid w:val="008F305E"/>
    <w:rsid w:val="008F66C0"/>
    <w:rsid w:val="008F6A90"/>
    <w:rsid w:val="008F77FA"/>
    <w:rsid w:val="009020CB"/>
    <w:rsid w:val="00905BB3"/>
    <w:rsid w:val="00912FC8"/>
    <w:rsid w:val="00921FCB"/>
    <w:rsid w:val="00926F43"/>
    <w:rsid w:val="0094117D"/>
    <w:rsid w:val="00953658"/>
    <w:rsid w:val="00954884"/>
    <w:rsid w:val="00954E21"/>
    <w:rsid w:val="00956A8C"/>
    <w:rsid w:val="009617BC"/>
    <w:rsid w:val="00961A09"/>
    <w:rsid w:val="0096233F"/>
    <w:rsid w:val="00964D6B"/>
    <w:rsid w:val="009663E9"/>
    <w:rsid w:val="009674AE"/>
    <w:rsid w:val="00974E41"/>
    <w:rsid w:val="00975239"/>
    <w:rsid w:val="00991C4A"/>
    <w:rsid w:val="00994E63"/>
    <w:rsid w:val="00995354"/>
    <w:rsid w:val="009966AE"/>
    <w:rsid w:val="009A0F54"/>
    <w:rsid w:val="009A1E34"/>
    <w:rsid w:val="009A619E"/>
    <w:rsid w:val="009B70CE"/>
    <w:rsid w:val="009B7868"/>
    <w:rsid w:val="009C00CF"/>
    <w:rsid w:val="009C6222"/>
    <w:rsid w:val="009C7515"/>
    <w:rsid w:val="009D17CA"/>
    <w:rsid w:val="009D5AA1"/>
    <w:rsid w:val="009D7129"/>
    <w:rsid w:val="009D760B"/>
    <w:rsid w:val="009F2912"/>
    <w:rsid w:val="009F308E"/>
    <w:rsid w:val="00A035BD"/>
    <w:rsid w:val="00A04132"/>
    <w:rsid w:val="00A06E4E"/>
    <w:rsid w:val="00A144BD"/>
    <w:rsid w:val="00A2050D"/>
    <w:rsid w:val="00A27254"/>
    <w:rsid w:val="00A33FFC"/>
    <w:rsid w:val="00A44A98"/>
    <w:rsid w:val="00A453D6"/>
    <w:rsid w:val="00A50386"/>
    <w:rsid w:val="00A515CF"/>
    <w:rsid w:val="00A552EB"/>
    <w:rsid w:val="00A56C9C"/>
    <w:rsid w:val="00A86DC6"/>
    <w:rsid w:val="00AA5C54"/>
    <w:rsid w:val="00AB41E4"/>
    <w:rsid w:val="00AC3B9F"/>
    <w:rsid w:val="00AC71A1"/>
    <w:rsid w:val="00AD0A72"/>
    <w:rsid w:val="00AD38F7"/>
    <w:rsid w:val="00AD7DED"/>
    <w:rsid w:val="00AE1E10"/>
    <w:rsid w:val="00AE3885"/>
    <w:rsid w:val="00AE3C55"/>
    <w:rsid w:val="00AF0B51"/>
    <w:rsid w:val="00AF1D32"/>
    <w:rsid w:val="00AF3200"/>
    <w:rsid w:val="00B01312"/>
    <w:rsid w:val="00B04DE3"/>
    <w:rsid w:val="00B06B71"/>
    <w:rsid w:val="00B1110B"/>
    <w:rsid w:val="00B21373"/>
    <w:rsid w:val="00B23B90"/>
    <w:rsid w:val="00B27E8F"/>
    <w:rsid w:val="00B469EB"/>
    <w:rsid w:val="00B5382E"/>
    <w:rsid w:val="00B5423F"/>
    <w:rsid w:val="00B55925"/>
    <w:rsid w:val="00B5767E"/>
    <w:rsid w:val="00B63C6F"/>
    <w:rsid w:val="00B655BE"/>
    <w:rsid w:val="00B7124B"/>
    <w:rsid w:val="00B73806"/>
    <w:rsid w:val="00B7426B"/>
    <w:rsid w:val="00B746DC"/>
    <w:rsid w:val="00B7592F"/>
    <w:rsid w:val="00B93442"/>
    <w:rsid w:val="00B935B9"/>
    <w:rsid w:val="00B956D3"/>
    <w:rsid w:val="00B9658C"/>
    <w:rsid w:val="00BA15F1"/>
    <w:rsid w:val="00BA2AD4"/>
    <w:rsid w:val="00BA44D1"/>
    <w:rsid w:val="00BB1135"/>
    <w:rsid w:val="00BB1F87"/>
    <w:rsid w:val="00BB2454"/>
    <w:rsid w:val="00BB4EF3"/>
    <w:rsid w:val="00BB6B0B"/>
    <w:rsid w:val="00BB700B"/>
    <w:rsid w:val="00BC1453"/>
    <w:rsid w:val="00BC1AB2"/>
    <w:rsid w:val="00BC1E5E"/>
    <w:rsid w:val="00BC3C19"/>
    <w:rsid w:val="00BC6D77"/>
    <w:rsid w:val="00BD3711"/>
    <w:rsid w:val="00BD3D95"/>
    <w:rsid w:val="00BD3F7C"/>
    <w:rsid w:val="00BD4E0B"/>
    <w:rsid w:val="00BD5DB6"/>
    <w:rsid w:val="00BD60FB"/>
    <w:rsid w:val="00BD7E84"/>
    <w:rsid w:val="00BE0E29"/>
    <w:rsid w:val="00BE39F3"/>
    <w:rsid w:val="00BE3FA4"/>
    <w:rsid w:val="00BF0A87"/>
    <w:rsid w:val="00BF3079"/>
    <w:rsid w:val="00BF36BF"/>
    <w:rsid w:val="00C10A5E"/>
    <w:rsid w:val="00C113D1"/>
    <w:rsid w:val="00C11DF5"/>
    <w:rsid w:val="00C1233C"/>
    <w:rsid w:val="00C13D79"/>
    <w:rsid w:val="00C21C91"/>
    <w:rsid w:val="00C23458"/>
    <w:rsid w:val="00C273FD"/>
    <w:rsid w:val="00C32882"/>
    <w:rsid w:val="00C34B8B"/>
    <w:rsid w:val="00C42940"/>
    <w:rsid w:val="00C4349B"/>
    <w:rsid w:val="00C4781C"/>
    <w:rsid w:val="00C47B65"/>
    <w:rsid w:val="00C51EE0"/>
    <w:rsid w:val="00C53291"/>
    <w:rsid w:val="00C573BA"/>
    <w:rsid w:val="00C57DA2"/>
    <w:rsid w:val="00C61DE5"/>
    <w:rsid w:val="00C77E26"/>
    <w:rsid w:val="00C80394"/>
    <w:rsid w:val="00C857D5"/>
    <w:rsid w:val="00C870CF"/>
    <w:rsid w:val="00C96751"/>
    <w:rsid w:val="00CA3D71"/>
    <w:rsid w:val="00CA4AB8"/>
    <w:rsid w:val="00CA52B3"/>
    <w:rsid w:val="00CA7002"/>
    <w:rsid w:val="00CA7B0D"/>
    <w:rsid w:val="00CB2439"/>
    <w:rsid w:val="00CC1B6C"/>
    <w:rsid w:val="00CC34C3"/>
    <w:rsid w:val="00CC3D9C"/>
    <w:rsid w:val="00CC625A"/>
    <w:rsid w:val="00CD1AF4"/>
    <w:rsid w:val="00CD50DC"/>
    <w:rsid w:val="00CE12FB"/>
    <w:rsid w:val="00CE2C19"/>
    <w:rsid w:val="00CE3E1F"/>
    <w:rsid w:val="00CE4B4E"/>
    <w:rsid w:val="00D00670"/>
    <w:rsid w:val="00D0142F"/>
    <w:rsid w:val="00D0236A"/>
    <w:rsid w:val="00D13AA7"/>
    <w:rsid w:val="00D14021"/>
    <w:rsid w:val="00D14929"/>
    <w:rsid w:val="00D1671B"/>
    <w:rsid w:val="00D20420"/>
    <w:rsid w:val="00D213C8"/>
    <w:rsid w:val="00D22BFB"/>
    <w:rsid w:val="00D30E1E"/>
    <w:rsid w:val="00D31D50"/>
    <w:rsid w:val="00D34A2E"/>
    <w:rsid w:val="00D440BD"/>
    <w:rsid w:val="00D46EE1"/>
    <w:rsid w:val="00D61F2A"/>
    <w:rsid w:val="00D65B38"/>
    <w:rsid w:val="00D7012B"/>
    <w:rsid w:val="00D74746"/>
    <w:rsid w:val="00D850DB"/>
    <w:rsid w:val="00D8673E"/>
    <w:rsid w:val="00DA1B2E"/>
    <w:rsid w:val="00DA42C0"/>
    <w:rsid w:val="00DB0988"/>
    <w:rsid w:val="00DB1313"/>
    <w:rsid w:val="00DB177B"/>
    <w:rsid w:val="00DB1E28"/>
    <w:rsid w:val="00DB68C5"/>
    <w:rsid w:val="00DC6401"/>
    <w:rsid w:val="00DD0A97"/>
    <w:rsid w:val="00DD3676"/>
    <w:rsid w:val="00DE1EC8"/>
    <w:rsid w:val="00DE60F9"/>
    <w:rsid w:val="00DE750C"/>
    <w:rsid w:val="00E01D65"/>
    <w:rsid w:val="00E11457"/>
    <w:rsid w:val="00E20183"/>
    <w:rsid w:val="00E24018"/>
    <w:rsid w:val="00E3533D"/>
    <w:rsid w:val="00E36370"/>
    <w:rsid w:val="00E40ED1"/>
    <w:rsid w:val="00E44933"/>
    <w:rsid w:val="00E45F1E"/>
    <w:rsid w:val="00E50B22"/>
    <w:rsid w:val="00E5112E"/>
    <w:rsid w:val="00E53E7E"/>
    <w:rsid w:val="00E54D92"/>
    <w:rsid w:val="00E561CD"/>
    <w:rsid w:val="00E57451"/>
    <w:rsid w:val="00E67E43"/>
    <w:rsid w:val="00E704B9"/>
    <w:rsid w:val="00E744DB"/>
    <w:rsid w:val="00E767EE"/>
    <w:rsid w:val="00E84563"/>
    <w:rsid w:val="00E97CFC"/>
    <w:rsid w:val="00EA3E28"/>
    <w:rsid w:val="00EA58E8"/>
    <w:rsid w:val="00EB058E"/>
    <w:rsid w:val="00EB24D5"/>
    <w:rsid w:val="00EB470D"/>
    <w:rsid w:val="00EC04D2"/>
    <w:rsid w:val="00EC46EB"/>
    <w:rsid w:val="00EC7559"/>
    <w:rsid w:val="00EE2E55"/>
    <w:rsid w:val="00EF00F2"/>
    <w:rsid w:val="00EF2B0C"/>
    <w:rsid w:val="00EF3DAC"/>
    <w:rsid w:val="00EF657B"/>
    <w:rsid w:val="00EF6C4C"/>
    <w:rsid w:val="00F026AC"/>
    <w:rsid w:val="00F02C9F"/>
    <w:rsid w:val="00F10923"/>
    <w:rsid w:val="00F16386"/>
    <w:rsid w:val="00F167E7"/>
    <w:rsid w:val="00F17D33"/>
    <w:rsid w:val="00F20E07"/>
    <w:rsid w:val="00F2544A"/>
    <w:rsid w:val="00F27016"/>
    <w:rsid w:val="00F35913"/>
    <w:rsid w:val="00F4005B"/>
    <w:rsid w:val="00F41D87"/>
    <w:rsid w:val="00F41E9C"/>
    <w:rsid w:val="00F429E5"/>
    <w:rsid w:val="00F4501F"/>
    <w:rsid w:val="00F477BD"/>
    <w:rsid w:val="00F56D98"/>
    <w:rsid w:val="00F646AE"/>
    <w:rsid w:val="00F6649E"/>
    <w:rsid w:val="00F70BFA"/>
    <w:rsid w:val="00F74E8A"/>
    <w:rsid w:val="00F76B0C"/>
    <w:rsid w:val="00F81E44"/>
    <w:rsid w:val="00F873CA"/>
    <w:rsid w:val="00F977F1"/>
    <w:rsid w:val="00FA0F1D"/>
    <w:rsid w:val="00FA2FB6"/>
    <w:rsid w:val="00FA3A34"/>
    <w:rsid w:val="00FB7078"/>
    <w:rsid w:val="00FB7CF4"/>
    <w:rsid w:val="00FC0E53"/>
    <w:rsid w:val="00FC4634"/>
    <w:rsid w:val="00FC4ADA"/>
    <w:rsid w:val="00FD6537"/>
    <w:rsid w:val="00FE09A4"/>
    <w:rsid w:val="00FE1363"/>
    <w:rsid w:val="00FE7DE0"/>
    <w:rsid w:val="00FF26ED"/>
    <w:rsid w:val="00FF7ED9"/>
    <w:rsid w:val="0ED81832"/>
    <w:rsid w:val="2B003DB6"/>
    <w:rsid w:val="2B705280"/>
    <w:rsid w:val="34B25704"/>
    <w:rsid w:val="3F4C1D72"/>
    <w:rsid w:val="456464A9"/>
    <w:rsid w:val="4AFD4374"/>
    <w:rsid w:val="4D1A70A7"/>
    <w:rsid w:val="572C541B"/>
    <w:rsid w:val="5FCB4B59"/>
    <w:rsid w:val="601D5E0C"/>
    <w:rsid w:val="69961F1A"/>
    <w:rsid w:val="6AC9286E"/>
    <w:rsid w:val="6B9C5CC8"/>
    <w:rsid w:val="6C9E3EB6"/>
    <w:rsid w:val="79494565"/>
    <w:rsid w:val="7DFE1404"/>
    <w:rsid w:val="A2FBD7EB"/>
    <w:rsid w:val="FBF406FB"/>
    <w:rsid w:val="FF7F87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9"/>
    <w:semiHidden/>
    <w:unhideWhenUsed/>
    <w:qFormat/>
    <w:uiPriority w:val="99"/>
    <w:rPr>
      <w:b/>
      <w:bCs/>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themeColor="hyperlink"/>
      <w:u w:val="single"/>
      <w14:textFill>
        <w14:solidFill>
          <w14:schemeClr w14:val="hlink"/>
        </w14:solidFill>
      </w14:textFill>
    </w:rPr>
  </w:style>
  <w:style w:type="character" w:styleId="13">
    <w:name w:val="annotation reference"/>
    <w:basedOn w:val="10"/>
    <w:semiHidden/>
    <w:unhideWhenUsed/>
    <w:qFormat/>
    <w:uiPriority w:val="99"/>
    <w:rPr>
      <w:sz w:val="21"/>
      <w:szCs w:val="21"/>
    </w:r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link w:val="14"/>
    <w:qFormat/>
    <w:uiPriority w:val="0"/>
    <w:rPr>
      <w:rFonts w:ascii="宋体" w:hAnsi="Times New Roman" w:eastAsia="宋体" w:cs="Times New Roman"/>
      <w:kern w:val="0"/>
      <w:szCs w:val="20"/>
    </w:rPr>
  </w:style>
  <w:style w:type="paragraph" w:customStyle="1" w:styleId="16">
    <w:name w:val="列出段落1"/>
    <w:basedOn w:val="1"/>
    <w:qFormat/>
    <w:uiPriority w:val="34"/>
    <w:pPr>
      <w:ind w:firstLine="420" w:firstLineChars="200"/>
    </w:pPr>
  </w:style>
  <w:style w:type="character" w:customStyle="1" w:styleId="17">
    <w:name w:val="批注框文本 Char"/>
    <w:basedOn w:val="10"/>
    <w:link w:val="4"/>
    <w:semiHidden/>
    <w:qFormat/>
    <w:uiPriority w:val="99"/>
    <w:rPr>
      <w:kern w:val="2"/>
      <w:sz w:val="18"/>
      <w:szCs w:val="18"/>
    </w:rPr>
  </w:style>
  <w:style w:type="character" w:customStyle="1" w:styleId="18">
    <w:name w:val="批注文字 Char"/>
    <w:basedOn w:val="10"/>
    <w:link w:val="3"/>
    <w:semiHidden/>
    <w:qFormat/>
    <w:uiPriority w:val="99"/>
    <w:rPr>
      <w:kern w:val="2"/>
      <w:sz w:val="21"/>
      <w:szCs w:val="22"/>
    </w:rPr>
  </w:style>
  <w:style w:type="character" w:customStyle="1" w:styleId="19">
    <w:name w:val="批注主题 Char"/>
    <w:basedOn w:val="18"/>
    <w:link w:val="7"/>
    <w:semiHidden/>
    <w:qFormat/>
    <w:uiPriority w:val="99"/>
    <w:rPr>
      <w:b/>
      <w:bCs/>
      <w:kern w:val="2"/>
      <w:sz w:val="21"/>
      <w:szCs w:val="22"/>
    </w:rPr>
  </w:style>
  <w:style w:type="character" w:customStyle="1" w:styleId="20">
    <w:name w:val="标题 1 Char"/>
    <w:basedOn w:val="10"/>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7" Type="http://schemas.openxmlformats.org/officeDocument/2006/relationships/fontTable" Target="fontTable.xml"/><Relationship Id="rId46" Type="http://schemas.openxmlformats.org/officeDocument/2006/relationships/customXml" Target="../customXml/item1.xml"/><Relationship Id="rId45" Type="http://schemas.openxmlformats.org/officeDocument/2006/relationships/oleObject" Target="embeddings/oleObject26.bin"/><Relationship Id="rId44" Type="http://schemas.openxmlformats.org/officeDocument/2006/relationships/image" Target="media/image15.wmf"/><Relationship Id="rId43" Type="http://schemas.openxmlformats.org/officeDocument/2006/relationships/oleObject" Target="embeddings/oleObject25.bin"/><Relationship Id="rId42" Type="http://schemas.openxmlformats.org/officeDocument/2006/relationships/oleObject" Target="embeddings/oleObject24.bin"/><Relationship Id="rId41" Type="http://schemas.openxmlformats.org/officeDocument/2006/relationships/image" Target="media/image14.wmf"/><Relationship Id="rId40" Type="http://schemas.openxmlformats.org/officeDocument/2006/relationships/oleObject" Target="embeddings/oleObject23.bin"/><Relationship Id="rId4" Type="http://schemas.openxmlformats.org/officeDocument/2006/relationships/theme" Target="theme/theme1.xml"/><Relationship Id="rId39" Type="http://schemas.openxmlformats.org/officeDocument/2006/relationships/oleObject" Target="embeddings/oleObject22.bin"/><Relationship Id="rId38" Type="http://schemas.openxmlformats.org/officeDocument/2006/relationships/image" Target="media/image13.wmf"/><Relationship Id="rId37" Type="http://schemas.openxmlformats.org/officeDocument/2006/relationships/oleObject" Target="embeddings/oleObject21.bin"/><Relationship Id="rId36" Type="http://schemas.openxmlformats.org/officeDocument/2006/relationships/oleObject" Target="embeddings/oleObject20.bin"/><Relationship Id="rId35" Type="http://schemas.openxmlformats.org/officeDocument/2006/relationships/image" Target="media/image12.wmf"/><Relationship Id="rId34" Type="http://schemas.openxmlformats.org/officeDocument/2006/relationships/oleObject" Target="embeddings/oleObject19.bin"/><Relationship Id="rId33" Type="http://schemas.openxmlformats.org/officeDocument/2006/relationships/oleObject" Target="embeddings/oleObject18.bin"/><Relationship Id="rId32" Type="http://schemas.openxmlformats.org/officeDocument/2006/relationships/image" Target="media/image11.wmf"/><Relationship Id="rId31" Type="http://schemas.openxmlformats.org/officeDocument/2006/relationships/oleObject" Target="embeddings/oleObject17.bin"/><Relationship Id="rId30" Type="http://schemas.openxmlformats.org/officeDocument/2006/relationships/oleObject" Target="embeddings/oleObject16.bin"/><Relationship Id="rId3" Type="http://schemas.openxmlformats.org/officeDocument/2006/relationships/footer" Target="footer1.xml"/><Relationship Id="rId29" Type="http://schemas.openxmlformats.org/officeDocument/2006/relationships/image" Target="media/image10.wmf"/><Relationship Id="rId28" Type="http://schemas.openxmlformats.org/officeDocument/2006/relationships/oleObject" Target="embeddings/oleObject15.bin"/><Relationship Id="rId27" Type="http://schemas.openxmlformats.org/officeDocument/2006/relationships/oleObject" Target="embeddings/oleObject14.bin"/><Relationship Id="rId26" Type="http://schemas.openxmlformats.org/officeDocument/2006/relationships/image" Target="media/image9.wmf"/><Relationship Id="rId25" Type="http://schemas.openxmlformats.org/officeDocument/2006/relationships/oleObject" Target="embeddings/oleObject13.bin"/><Relationship Id="rId24" Type="http://schemas.openxmlformats.org/officeDocument/2006/relationships/oleObject" Target="embeddings/oleObject12.bin"/><Relationship Id="rId23" Type="http://schemas.openxmlformats.org/officeDocument/2006/relationships/image" Target="media/image8.wmf"/><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6.wmf"/><Relationship Id="rId16" Type="http://schemas.openxmlformats.org/officeDocument/2006/relationships/oleObject" Target="embeddings/oleObject7.bin"/><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CNIS</Company>
  <Pages>17</Pages>
  <Words>1304</Words>
  <Characters>7436</Characters>
  <Lines>61</Lines>
  <Paragraphs>17</Paragraphs>
  <TotalTime>8</TotalTime>
  <ScaleCrop>false</ScaleCrop>
  <LinksUpToDate>false</LinksUpToDate>
  <CharactersWithSpaces>8723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2016-07-02T10:03:00Z</dcterms:created>
  <dc:creator>fuyun</dc:creator>
  <cp:lastModifiedBy>。</cp:lastModifiedBy>
  <cp:lastPrinted>2023-06-29T14:21:00Z</cp:lastPrinted>
  <dcterms:modified xsi:type="dcterms:W3CDTF">2023-07-24T01:26:21Z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17F459EA405545EAA75E0945BDBF0A95_13</vt:lpwstr>
  </property>
</Properties>
</file>